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03E65" w14:textId="0CDF2C74" w:rsidR="007D745B" w:rsidRPr="007D745B" w:rsidRDefault="007D745B" w:rsidP="007D745B">
      <w:r w:rsidRPr="007D745B">
        <w:rPr>
          <w:b/>
          <w:bCs/>
        </w:rPr>
        <w:t xml:space="preserve">National Treasury Regulations: </w:t>
      </w:r>
      <w:r w:rsidR="006446B3">
        <w:rPr>
          <w:b/>
          <w:bCs/>
        </w:rPr>
        <w:t xml:space="preserve">Norms and Standards for </w:t>
      </w:r>
      <w:r w:rsidRPr="007D745B">
        <w:rPr>
          <w:b/>
          <w:bCs/>
        </w:rPr>
        <w:t>Budgeting, Accounting, Reporting</w:t>
      </w:r>
      <w:r w:rsidR="006446B3">
        <w:rPr>
          <w:b/>
          <w:bCs/>
        </w:rPr>
        <w:t>, and Cost Managing</w:t>
      </w:r>
      <w:r w:rsidRPr="007D745B">
        <w:rPr>
          <w:b/>
          <w:bCs/>
        </w:rPr>
        <w:t xml:space="preserve"> Preferential Premiums</w:t>
      </w:r>
      <w:r w:rsidR="006446B3">
        <w:rPr>
          <w:b/>
          <w:bCs/>
        </w:rPr>
        <w:t xml:space="preserve"> in Public Procurement</w:t>
      </w:r>
    </w:p>
    <w:p w14:paraId="361691D1" w14:textId="4B48EA0C" w:rsidR="007D745B" w:rsidRPr="007D745B" w:rsidRDefault="007D745B" w:rsidP="007D745B">
      <w:r w:rsidRPr="007D745B">
        <w:rPr>
          <w:b/>
          <w:bCs/>
        </w:rPr>
        <w:t xml:space="preserve">Issued in terms of Section 76 of the Public Finance Management Act, 1999 (Act No. 1 of 1999), read with the </w:t>
      </w:r>
      <w:r w:rsidR="006446B3">
        <w:rPr>
          <w:b/>
          <w:bCs/>
        </w:rPr>
        <w:t>P</w:t>
      </w:r>
      <w:r w:rsidR="00B93CA2">
        <w:rPr>
          <w:b/>
          <w:bCs/>
        </w:rPr>
        <w:t>referential</w:t>
      </w:r>
      <w:r w:rsidR="006446B3">
        <w:rPr>
          <w:b/>
          <w:bCs/>
        </w:rPr>
        <w:t xml:space="preserve"> Procurement Policy Framework Act, the Broad-Based Economic Empowerment Act,</w:t>
      </w:r>
      <w:r w:rsidRPr="007D745B">
        <w:rPr>
          <w:b/>
          <w:bCs/>
        </w:rPr>
        <w:t xml:space="preserve"> and the Constitution of the Republic of South Africa, 1996.</w:t>
      </w:r>
    </w:p>
    <w:p w14:paraId="5042279F" w14:textId="77777777" w:rsidR="007D745B" w:rsidRDefault="007D745B" w:rsidP="007D745B">
      <w:r w:rsidRPr="007D745B">
        <w:rPr>
          <w:b/>
          <w:bCs/>
        </w:rPr>
        <w:t>PREAMBLE</w:t>
      </w:r>
      <w:r w:rsidRPr="007D745B">
        <w:t xml:space="preserve"> </w:t>
      </w:r>
      <w:r w:rsidRPr="007D745B">
        <w:rPr>
          <w:b/>
          <w:bCs/>
        </w:rPr>
        <w:t>RECOGNISING</w:t>
      </w:r>
      <w:r w:rsidRPr="007D745B">
        <w:t xml:space="preserve"> that section 215(1) of the Constitution requires national, provincial, and municipal budgets and budgetary processes to promote transparency, accountability, and the effective financial management of the economy, debt, and the public </w:t>
      </w:r>
      <w:proofErr w:type="gramStart"/>
      <w:r w:rsidRPr="007D745B">
        <w:t>sector;</w:t>
      </w:r>
      <w:proofErr w:type="gramEnd"/>
      <w:r w:rsidRPr="007D745B">
        <w:t xml:space="preserve"> </w:t>
      </w:r>
    </w:p>
    <w:p w14:paraId="608C5353" w14:textId="77777777" w:rsidR="007D745B" w:rsidRDefault="007D745B" w:rsidP="007D745B">
      <w:r w:rsidRPr="007D745B">
        <w:rPr>
          <w:b/>
          <w:bCs/>
        </w:rPr>
        <w:t>AND RECOGNISING</w:t>
      </w:r>
      <w:r w:rsidRPr="007D745B">
        <w:t xml:space="preserve"> that section 215(2)(c) mandates that budgets must show the way in which proposed expenditure will comply with national </w:t>
      </w:r>
      <w:proofErr w:type="gramStart"/>
      <w:r w:rsidRPr="007D745B">
        <w:t>legislation;</w:t>
      </w:r>
      <w:proofErr w:type="gramEnd"/>
      <w:r w:rsidRPr="007D745B">
        <w:t xml:space="preserve"> </w:t>
      </w:r>
    </w:p>
    <w:p w14:paraId="0DA038EA" w14:textId="0E16546E" w:rsidR="007D745B" w:rsidRDefault="007D745B" w:rsidP="007D745B">
      <w:r w:rsidRPr="007D745B">
        <w:rPr>
          <w:b/>
          <w:bCs/>
        </w:rPr>
        <w:t>AND RECOGNISING</w:t>
      </w:r>
      <w:r w:rsidRPr="007D745B">
        <w:t xml:space="preserve"> that section 216(1)</w:t>
      </w:r>
      <w:r>
        <w:t xml:space="preserve"> requires</w:t>
      </w:r>
      <w:r w:rsidRPr="007D745B">
        <w:t xml:space="preserve"> measures to</w:t>
      </w:r>
      <w:r>
        <w:t xml:space="preserve"> be prescribed to</w:t>
      </w:r>
      <w:r w:rsidRPr="007D745B">
        <w:t xml:space="preserve"> ensure both transparency and expenditure control in each sphere of government by introducing </w:t>
      </w:r>
      <w:r>
        <w:t xml:space="preserve">uniform expenditure classifications, and uniform treasury norms and </w:t>
      </w:r>
      <w:proofErr w:type="gramStart"/>
      <w:r>
        <w:t>standards</w:t>
      </w:r>
      <w:r w:rsidRPr="007D745B">
        <w:t>;</w:t>
      </w:r>
      <w:proofErr w:type="gramEnd"/>
      <w:r w:rsidRPr="007D745B">
        <w:t xml:space="preserve"> </w:t>
      </w:r>
    </w:p>
    <w:p w14:paraId="5A3F20FC" w14:textId="174F1187" w:rsidR="007D745B" w:rsidRDefault="007D745B" w:rsidP="007D745B">
      <w:r w:rsidRPr="007D745B">
        <w:rPr>
          <w:b/>
          <w:bCs/>
        </w:rPr>
        <w:t>AND RECOGNISING</w:t>
      </w:r>
      <w:r w:rsidRPr="007D745B">
        <w:t xml:space="preserve"> that section 217(1) requires a procurement system that is transparent, and that this transparency must extend to the cost of implementing </w:t>
      </w:r>
      <w:r w:rsidR="00447E2D">
        <w:t xml:space="preserve">legislatively provided for </w:t>
      </w:r>
      <w:r w:rsidRPr="007D745B">
        <w:t xml:space="preserve">categories of preference </w:t>
      </w:r>
      <w:r w:rsidR="00447E2D">
        <w:t>pursuant to section</w:t>
      </w:r>
      <w:r w:rsidRPr="007D745B">
        <w:t xml:space="preserve"> 217(2)(a</w:t>
      </w:r>
      <w:proofErr w:type="gramStart"/>
      <w:r w:rsidRPr="007D745B">
        <w:t>);</w:t>
      </w:r>
      <w:proofErr w:type="gramEnd"/>
      <w:r w:rsidRPr="007D745B">
        <w:t xml:space="preserve"> </w:t>
      </w:r>
    </w:p>
    <w:p w14:paraId="1AE4D2B3" w14:textId="1A848002" w:rsidR="007D745B" w:rsidRPr="007D745B" w:rsidRDefault="007D745B" w:rsidP="007D745B">
      <w:r w:rsidRPr="007D745B">
        <w:rPr>
          <w:b/>
          <w:bCs/>
        </w:rPr>
        <w:t>NOW THEREFORE</w:t>
      </w:r>
      <w:r w:rsidRPr="007D745B">
        <w:t xml:space="preserve">, to ensure that the unrequited </w:t>
      </w:r>
      <w:r w:rsidR="009D615F">
        <w:t>subsidies</w:t>
      </w:r>
      <w:r w:rsidRPr="007D745B">
        <w:t xml:space="preserve"> paid to achieve constitutional transformation goals are visibly budgeted for, accurately accounted for, </w:t>
      </w:r>
      <w:r>
        <w:t xml:space="preserve">transparent, </w:t>
      </w:r>
      <w:r w:rsidRPr="007D745B">
        <w:t>and subject to democratic expenditure controls, the following Regulations are issued:</w:t>
      </w:r>
    </w:p>
    <w:p w14:paraId="5773D359" w14:textId="77777777" w:rsidR="007D745B" w:rsidRPr="007D745B" w:rsidRDefault="007D745B" w:rsidP="007D745B">
      <w:pPr>
        <w:rPr>
          <w:b/>
          <w:bCs/>
        </w:rPr>
      </w:pPr>
      <w:r w:rsidRPr="007D745B">
        <w:rPr>
          <w:b/>
          <w:bCs/>
        </w:rPr>
        <w:t>Part 1: Definitions and Application</w:t>
      </w:r>
    </w:p>
    <w:p w14:paraId="117FF1A0" w14:textId="77777777" w:rsidR="007D745B" w:rsidRPr="007D745B" w:rsidRDefault="007D745B" w:rsidP="007D745B">
      <w:r w:rsidRPr="007D745B">
        <w:rPr>
          <w:b/>
          <w:bCs/>
        </w:rPr>
        <w:t>1. Definitions</w:t>
      </w:r>
      <w:r w:rsidRPr="007D745B">
        <w:t xml:space="preserve"> In these Regulations, unless the context indicates otherwise:</w:t>
      </w:r>
    </w:p>
    <w:p w14:paraId="74653700" w14:textId="0A68AA06" w:rsidR="007D745B" w:rsidRDefault="007D745B" w:rsidP="007D745B">
      <w:pPr>
        <w:numPr>
          <w:ilvl w:val="0"/>
          <w:numId w:val="1"/>
        </w:numPr>
      </w:pPr>
      <w:r w:rsidRPr="007D745B">
        <w:rPr>
          <w:b/>
          <w:bCs/>
        </w:rPr>
        <w:t>"Base Price"</w:t>
      </w:r>
      <w:r w:rsidRPr="007D745B">
        <w:t xml:space="preserve"> means the price of </w:t>
      </w:r>
      <w:r w:rsidR="0070455D">
        <w:t>the acceptable tender that scores the maximum</w:t>
      </w:r>
      <w:r w:rsidR="00E349BF">
        <w:t xml:space="preserve"> 90 points </w:t>
      </w:r>
      <w:r w:rsidR="000448E5">
        <w:t xml:space="preserve">for price </w:t>
      </w:r>
      <w:r w:rsidR="00E349BF">
        <w:t>in terms of section 2(1)(b)(</w:t>
      </w:r>
      <w:proofErr w:type="spellStart"/>
      <w:r w:rsidR="00E349BF">
        <w:t>i</w:t>
      </w:r>
      <w:proofErr w:type="spellEnd"/>
      <w:r w:rsidR="00E349BF">
        <w:t xml:space="preserve">) of the </w:t>
      </w:r>
      <w:r w:rsidR="0070455D">
        <w:t>Preferential Procurement Policy Framework Act</w:t>
      </w:r>
      <w:r w:rsidR="00E349BF">
        <w:t xml:space="preserve">, </w:t>
      </w:r>
      <w:r w:rsidR="0070455D">
        <w:t xml:space="preserve">2000 (Act. No. 5 of 2000), </w:t>
      </w:r>
      <w:r w:rsidR="00E349BF">
        <w:t xml:space="preserve">or </w:t>
      </w:r>
      <w:r w:rsidR="0070455D">
        <w:t xml:space="preserve">the maximum 80 points for price in terms of section 2(1)(b)(ii) of that Act, as applicable. </w:t>
      </w:r>
    </w:p>
    <w:p w14:paraId="590E83F4" w14:textId="157721C5" w:rsidR="007D745B" w:rsidRDefault="007D745B" w:rsidP="007D745B">
      <w:pPr>
        <w:numPr>
          <w:ilvl w:val="0"/>
          <w:numId w:val="1"/>
        </w:numPr>
      </w:pPr>
      <w:r w:rsidRPr="00FD1EF1">
        <w:rPr>
          <w:b/>
          <w:bCs/>
        </w:rPr>
        <w:t>"</w:t>
      </w:r>
      <w:r>
        <w:rPr>
          <w:b/>
          <w:bCs/>
        </w:rPr>
        <w:t>BEE Premium</w:t>
      </w:r>
      <w:r w:rsidRPr="00FD1EF1">
        <w:rPr>
          <w:b/>
          <w:bCs/>
        </w:rPr>
        <w:t>"</w:t>
      </w:r>
      <w:r>
        <w:t xml:space="preserve"> means a Preference Premium </w:t>
      </w:r>
      <w:r w:rsidR="00225FD8">
        <w:t xml:space="preserve">pursuant “broad-based black economic empowerment” as defined </w:t>
      </w:r>
      <w:r w:rsidR="005263AC">
        <w:t xml:space="preserve">specifically </w:t>
      </w:r>
      <w:r w:rsidR="00225FD8">
        <w:t xml:space="preserve">in 1(d) and </w:t>
      </w:r>
      <w:r w:rsidR="00811F1A">
        <w:t>1(f) of the Broad-Based Black Economic Empowerment Act, 2004 (Act No. 25899 of 2004).</w:t>
      </w:r>
    </w:p>
    <w:p w14:paraId="486BBBB8" w14:textId="40CFC516" w:rsidR="00D94ACC" w:rsidRPr="007D745B" w:rsidRDefault="00D94ACC" w:rsidP="007D745B">
      <w:pPr>
        <w:numPr>
          <w:ilvl w:val="0"/>
          <w:numId w:val="1"/>
        </w:numPr>
      </w:pPr>
      <w:r w:rsidRPr="00FD1EF1">
        <w:rPr>
          <w:b/>
          <w:bCs/>
        </w:rPr>
        <w:t>"</w:t>
      </w:r>
      <w:r>
        <w:rPr>
          <w:b/>
          <w:bCs/>
        </w:rPr>
        <w:t>Other Preference Premium</w:t>
      </w:r>
      <w:r w:rsidRPr="00FD1EF1">
        <w:rPr>
          <w:b/>
          <w:bCs/>
        </w:rPr>
        <w:t>"</w:t>
      </w:r>
      <w:r>
        <w:rPr>
          <w:b/>
          <w:bCs/>
        </w:rPr>
        <w:t xml:space="preserve"> </w:t>
      </w:r>
      <w:r>
        <w:t xml:space="preserve">means a Preference Premium </w:t>
      </w:r>
      <w:r w:rsidR="000F53AF">
        <w:t>other than a BEE Premium.</w:t>
      </w:r>
    </w:p>
    <w:p w14:paraId="1B168774" w14:textId="08AF0E5A" w:rsidR="0070455D" w:rsidRPr="0028214B" w:rsidRDefault="0070455D" w:rsidP="0028214B">
      <w:pPr>
        <w:numPr>
          <w:ilvl w:val="0"/>
          <w:numId w:val="1"/>
        </w:numPr>
        <w:rPr>
          <w:b/>
          <w:bCs/>
        </w:rPr>
      </w:pPr>
      <w:r w:rsidRPr="0070455D">
        <w:rPr>
          <w:b/>
          <w:bCs/>
        </w:rPr>
        <w:t xml:space="preserve">"Preference Premium" </w:t>
      </w:r>
      <w:r w:rsidR="0028214B" w:rsidRPr="0028214B">
        <w:t>means the exact financial difference between the final contract price of the successful tender and the Base Price</w:t>
      </w:r>
      <w:r w:rsidR="0028214B">
        <w:t xml:space="preserve">, which amount shall </w:t>
      </w:r>
      <w:r w:rsidR="0028214B">
        <w:lastRenderedPageBreak/>
        <w:t xml:space="preserve">be zero where the successful tender scored the maximum points for price under the applicable section. </w:t>
      </w:r>
    </w:p>
    <w:p w14:paraId="03456731" w14:textId="77777777" w:rsidR="007D745B" w:rsidRPr="007D745B" w:rsidRDefault="007D745B" w:rsidP="007D745B">
      <w:pPr>
        <w:numPr>
          <w:ilvl w:val="0"/>
          <w:numId w:val="1"/>
        </w:numPr>
      </w:pPr>
      <w:r w:rsidRPr="007D745B">
        <w:rPr>
          <w:b/>
          <w:bCs/>
        </w:rPr>
        <w:t>"Requited Expenditure"</w:t>
      </w:r>
      <w:r w:rsidRPr="007D745B">
        <w:t xml:space="preserve"> means the economic value of the Base Price, classified purely as a transactional payment for goods, services, or capital assets.</w:t>
      </w:r>
    </w:p>
    <w:p w14:paraId="1894669F" w14:textId="7B10E941" w:rsidR="007D745B" w:rsidRPr="007D745B" w:rsidRDefault="007D745B" w:rsidP="007D745B">
      <w:pPr>
        <w:numPr>
          <w:ilvl w:val="0"/>
          <w:numId w:val="1"/>
        </w:numPr>
      </w:pPr>
      <w:r w:rsidRPr="007D745B">
        <w:rPr>
          <w:b/>
          <w:bCs/>
        </w:rPr>
        <w:t xml:space="preserve">"Unrequited </w:t>
      </w:r>
      <w:r>
        <w:rPr>
          <w:b/>
          <w:bCs/>
        </w:rPr>
        <w:t>Subsidy</w:t>
      </w:r>
      <w:r w:rsidRPr="007D745B">
        <w:rPr>
          <w:b/>
          <w:bCs/>
        </w:rPr>
        <w:t>"</w:t>
      </w:r>
      <w:r w:rsidRPr="007D745B">
        <w:t xml:space="preserve"> means the economic value of the Preference Premium, classified as a targeted</w:t>
      </w:r>
      <w:r w:rsidR="006446B3">
        <w:t xml:space="preserve"> </w:t>
      </w:r>
      <w:r w:rsidRPr="007D745B">
        <w:t>subsidy paid to the preferred bidder.</w:t>
      </w:r>
    </w:p>
    <w:p w14:paraId="30438B0D" w14:textId="09490704" w:rsidR="007D745B" w:rsidRPr="007D745B" w:rsidRDefault="007D745B" w:rsidP="007D745B">
      <w:r w:rsidRPr="007D745B">
        <w:rPr>
          <w:b/>
          <w:bCs/>
        </w:rPr>
        <w:t>2. Application</w:t>
      </w:r>
      <w:r w:rsidRPr="007D745B">
        <w:t xml:space="preserve"> These regulations apply to all </w:t>
      </w:r>
      <w:r w:rsidR="00945834">
        <w:t xml:space="preserve">“organs of state” as defined by the Preferential Procurement Policy Framework Act, </w:t>
      </w:r>
      <w:r w:rsidR="001F63A9">
        <w:t>(Act. No. 5 of 2000)</w:t>
      </w:r>
      <w:r w:rsidR="00BB7BC0">
        <w:t>.</w:t>
      </w:r>
    </w:p>
    <w:p w14:paraId="183B32F4" w14:textId="43769C6F" w:rsidR="007D745B" w:rsidRPr="007D745B" w:rsidRDefault="007D745B" w:rsidP="007D745B">
      <w:r>
        <w:rPr>
          <w:b/>
          <w:bCs/>
        </w:rPr>
        <w:t>3</w:t>
      </w:r>
      <w:r w:rsidRPr="007D745B">
        <w:rPr>
          <w:b/>
          <w:bCs/>
        </w:rPr>
        <w:t xml:space="preserve">. </w:t>
      </w:r>
      <w:r w:rsidR="00E349BF">
        <w:rPr>
          <w:b/>
          <w:bCs/>
        </w:rPr>
        <w:t>Records of Base Price and Preference Premiums</w:t>
      </w:r>
    </w:p>
    <w:p w14:paraId="1AED4FBE" w14:textId="66D80529" w:rsidR="00415C4D" w:rsidRPr="007D745B" w:rsidRDefault="007D745B" w:rsidP="00D34916">
      <w:pPr>
        <w:numPr>
          <w:ilvl w:val="0"/>
          <w:numId w:val="3"/>
        </w:numPr>
      </w:pPr>
      <w:r w:rsidRPr="007D745B">
        <w:rPr>
          <w:b/>
          <w:bCs/>
        </w:rPr>
        <w:t>(1)</w:t>
      </w:r>
      <w:r w:rsidRPr="007D745B">
        <w:t xml:space="preserve"> Upon the award of any contract the accounting officer must </w:t>
      </w:r>
      <w:r w:rsidR="00E349BF">
        <w:t>record the Base Price, and the Preference Premium, separately</w:t>
      </w:r>
      <w:r w:rsidR="00A2186C">
        <w:t>.</w:t>
      </w:r>
      <w:r w:rsidR="00C73373">
        <w:t xml:space="preserve"> </w:t>
      </w:r>
    </w:p>
    <w:p w14:paraId="732B7B64" w14:textId="19E0F693" w:rsidR="007A38B3" w:rsidRDefault="007D745B" w:rsidP="007D745B">
      <w:pPr>
        <w:numPr>
          <w:ilvl w:val="0"/>
          <w:numId w:val="3"/>
        </w:numPr>
      </w:pPr>
      <w:r w:rsidRPr="007D745B">
        <w:rPr>
          <w:b/>
          <w:bCs/>
        </w:rPr>
        <w:t>(2)</w:t>
      </w:r>
      <w:r w:rsidRPr="007D745B">
        <w:t xml:space="preserve"> </w:t>
      </w:r>
      <w:r w:rsidR="007A38B3">
        <w:t xml:space="preserve">The accounting officer must further </w:t>
      </w:r>
      <w:r w:rsidR="009113C8">
        <w:t>record the Preference Premium as either a BEE Premium or an Other Premium.</w:t>
      </w:r>
    </w:p>
    <w:p w14:paraId="57D75F83" w14:textId="5C62C5B5" w:rsidR="007D745B" w:rsidRPr="007D745B" w:rsidRDefault="009113C8" w:rsidP="007D745B">
      <w:pPr>
        <w:numPr>
          <w:ilvl w:val="0"/>
          <w:numId w:val="3"/>
        </w:numPr>
      </w:pPr>
      <w:r w:rsidRPr="009113C8">
        <w:rPr>
          <w:b/>
          <w:bCs/>
        </w:rPr>
        <w:t xml:space="preserve">(3) </w:t>
      </w:r>
      <w:r w:rsidR="007D745B" w:rsidRPr="007D745B">
        <w:t>The Base Price</w:t>
      </w:r>
      <w:r w:rsidR="00E349BF">
        <w:t xml:space="preserve"> </w:t>
      </w:r>
      <w:r w:rsidR="007D745B" w:rsidRPr="007D745B">
        <w:t xml:space="preserve">must be recorded and </w:t>
      </w:r>
      <w:r w:rsidR="006446B3">
        <w:t>accounted for</w:t>
      </w:r>
      <w:r w:rsidR="007D745B" w:rsidRPr="007D745B">
        <w:t xml:space="preserve"> under the relevant "Goods and Services" or "Capital Assets" </w:t>
      </w:r>
      <w:r w:rsidR="006446B3" w:rsidRPr="007D745B">
        <w:t xml:space="preserve">Standard Chart of Accounts </w:t>
      </w:r>
      <w:r w:rsidR="006446B3">
        <w:t>(</w:t>
      </w:r>
      <w:r w:rsidR="007D745B" w:rsidRPr="007D745B">
        <w:t>SCOA</w:t>
      </w:r>
      <w:r w:rsidR="006446B3">
        <w:t xml:space="preserve">) </w:t>
      </w:r>
      <w:r w:rsidR="007D745B" w:rsidRPr="007D745B">
        <w:t>classification.</w:t>
      </w:r>
    </w:p>
    <w:p w14:paraId="7C781368" w14:textId="5749DCE8" w:rsidR="007D745B" w:rsidRDefault="007D745B" w:rsidP="007D745B">
      <w:pPr>
        <w:numPr>
          <w:ilvl w:val="0"/>
          <w:numId w:val="3"/>
        </w:numPr>
      </w:pPr>
      <w:r w:rsidRPr="007D745B">
        <w:rPr>
          <w:b/>
          <w:bCs/>
        </w:rPr>
        <w:t>(</w:t>
      </w:r>
      <w:r w:rsidR="009113C8">
        <w:rPr>
          <w:b/>
          <w:bCs/>
        </w:rPr>
        <w:t>4</w:t>
      </w:r>
      <w:r w:rsidRPr="007D745B">
        <w:rPr>
          <w:b/>
          <w:bCs/>
        </w:rPr>
        <w:t>)</w:t>
      </w:r>
      <w:r w:rsidRPr="007D745B">
        <w:t xml:space="preserve"> The Preference Premium</w:t>
      </w:r>
      <w:r w:rsidR="00E349BF">
        <w:t xml:space="preserve"> must be recorded and accounted for</w:t>
      </w:r>
      <w:r w:rsidRPr="007D745B">
        <w:t xml:space="preserve"> against the appropriated "Transfers and Subsidies: Preferential Procurement" SCOA classification</w:t>
      </w:r>
      <w:r w:rsidR="00447E2D">
        <w:t xml:space="preserve"> as either a BEE Premium or Other Premium.</w:t>
      </w:r>
    </w:p>
    <w:p w14:paraId="258D6F6C" w14:textId="3B52604A" w:rsidR="007D745B" w:rsidRPr="007D745B" w:rsidRDefault="008011B1" w:rsidP="007D745B">
      <w:r>
        <w:rPr>
          <w:b/>
          <w:bCs/>
        </w:rPr>
        <w:t>4</w:t>
      </w:r>
      <w:r w:rsidR="007D745B" w:rsidRPr="007D745B">
        <w:rPr>
          <w:b/>
          <w:bCs/>
        </w:rPr>
        <w:t>. Annual Reporting</w:t>
      </w:r>
    </w:p>
    <w:p w14:paraId="14B3BFC6" w14:textId="2DCA6163" w:rsidR="00A36A4E" w:rsidRPr="007D745B" w:rsidRDefault="00A36A4E" w:rsidP="00A36A4E">
      <w:pPr>
        <w:numPr>
          <w:ilvl w:val="0"/>
          <w:numId w:val="4"/>
        </w:numPr>
      </w:pPr>
      <w:r w:rsidRPr="007D745B">
        <w:rPr>
          <w:b/>
          <w:bCs/>
        </w:rPr>
        <w:t>(1)</w:t>
      </w:r>
      <w:r w:rsidRPr="007D745B">
        <w:t xml:space="preserve"> The Annual Financial Statements must disclose the aggregate total of Preference Premiums paid during the financial year as a distinct note</w:t>
      </w:r>
      <w:r>
        <w:t xml:space="preserve"> </w:t>
      </w:r>
      <w:r w:rsidR="006170BF">
        <w:t xml:space="preserve">as a necessary condition of </w:t>
      </w:r>
      <w:r>
        <w:t>compl</w:t>
      </w:r>
      <w:r w:rsidR="006170BF">
        <w:t>iance</w:t>
      </w:r>
      <w:r>
        <w:t xml:space="preserve"> with the transparency </w:t>
      </w:r>
      <w:r>
        <w:t>imperatives</w:t>
      </w:r>
      <w:r>
        <w:t xml:space="preserve"> of </w:t>
      </w:r>
      <w:r>
        <w:t xml:space="preserve">both </w:t>
      </w:r>
      <w:r>
        <w:t>section</w:t>
      </w:r>
      <w:r>
        <w:t>s</w:t>
      </w:r>
      <w:r>
        <w:t xml:space="preserve"> 216(1) and 217(1) of the Constitution.</w:t>
      </w:r>
    </w:p>
    <w:p w14:paraId="7B729C43" w14:textId="13431774" w:rsidR="007D745B" w:rsidRDefault="007D745B" w:rsidP="007D745B">
      <w:pPr>
        <w:numPr>
          <w:ilvl w:val="0"/>
          <w:numId w:val="4"/>
        </w:numPr>
      </w:pPr>
      <w:r w:rsidRPr="007D745B">
        <w:rPr>
          <w:b/>
          <w:bCs/>
        </w:rPr>
        <w:t>(2)</w:t>
      </w:r>
      <w:r w:rsidRPr="007D745B">
        <w:t xml:space="preserve"> The accounting officer must reconcile these aggregate unrequited </w:t>
      </w:r>
      <w:r>
        <w:t>subsidies</w:t>
      </w:r>
      <w:r w:rsidRPr="007D745B">
        <w:t xml:space="preserve"> against the prospective budget initially allocated in terms of Regulation </w:t>
      </w:r>
      <w:r w:rsidR="006446B3">
        <w:t>5</w:t>
      </w:r>
      <w:r w:rsidRPr="007D745B">
        <w:t xml:space="preserve"> to demonstrate the way in which the expenditure complied with national legislation.</w:t>
      </w:r>
    </w:p>
    <w:p w14:paraId="75652419" w14:textId="05B3A551" w:rsidR="008011B1" w:rsidRPr="007D745B" w:rsidRDefault="006446B3" w:rsidP="008011B1">
      <w:r>
        <w:rPr>
          <w:b/>
          <w:bCs/>
        </w:rPr>
        <w:t>5</w:t>
      </w:r>
      <w:r w:rsidR="008011B1" w:rsidRPr="007D745B">
        <w:rPr>
          <w:b/>
          <w:bCs/>
        </w:rPr>
        <w:t xml:space="preserve">.  </w:t>
      </w:r>
      <w:r w:rsidR="009A75C1">
        <w:rPr>
          <w:b/>
          <w:bCs/>
        </w:rPr>
        <w:t xml:space="preserve">Estimates of </w:t>
      </w:r>
      <w:r w:rsidR="00F660A5">
        <w:rPr>
          <w:b/>
          <w:bCs/>
        </w:rPr>
        <w:t xml:space="preserve">National Expenditure </w:t>
      </w:r>
      <w:r w:rsidR="00DF610C">
        <w:rPr>
          <w:b/>
          <w:bCs/>
        </w:rPr>
        <w:t>and Budget Review</w:t>
      </w:r>
    </w:p>
    <w:p w14:paraId="20D7EC68" w14:textId="77777777" w:rsidR="00FF1E3A" w:rsidRDefault="006100EC" w:rsidP="008011B1">
      <w:pPr>
        <w:numPr>
          <w:ilvl w:val="0"/>
          <w:numId w:val="4"/>
        </w:numPr>
      </w:pPr>
      <w:r w:rsidRPr="007D745B">
        <w:rPr>
          <w:b/>
          <w:bCs/>
        </w:rPr>
        <w:t>(1)</w:t>
      </w:r>
      <w:r w:rsidRPr="007D745B">
        <w:t xml:space="preserve"> </w:t>
      </w:r>
      <w:r>
        <w:t>All</w:t>
      </w:r>
      <w:r w:rsidRPr="007D745B">
        <w:t xml:space="preserve"> annual budgets and Medium-Term Expenditure Framework (MTEF) submissions must</w:t>
      </w:r>
      <w:r>
        <w:t>, pursuant to section 215(1)(c) of the Constitution,</w:t>
      </w:r>
      <w:r w:rsidRPr="007D745B">
        <w:t xml:space="preserve"> explicitly </w:t>
      </w:r>
      <w:r>
        <w:t xml:space="preserve">report the </w:t>
      </w:r>
      <w:r w:rsidRPr="007D745B">
        <w:t xml:space="preserve">anticipated </w:t>
      </w:r>
      <w:r>
        <w:t xml:space="preserve">future </w:t>
      </w:r>
      <w:r w:rsidRPr="007D745B">
        <w:t>cost of Preference Premiums</w:t>
      </w:r>
      <w:r w:rsidR="00FF1E3A">
        <w:t xml:space="preserve">. </w:t>
      </w:r>
    </w:p>
    <w:p w14:paraId="247EC208" w14:textId="6C0A4F5C" w:rsidR="006100EC" w:rsidRPr="006100EC" w:rsidRDefault="00FF1E3A" w:rsidP="008011B1">
      <w:pPr>
        <w:numPr>
          <w:ilvl w:val="0"/>
          <w:numId w:val="4"/>
        </w:numPr>
      </w:pPr>
      <w:r w:rsidRPr="00FF1E3A">
        <w:rPr>
          <w:b/>
          <w:bCs/>
        </w:rPr>
        <w:lastRenderedPageBreak/>
        <w:t xml:space="preserve">(2) </w:t>
      </w:r>
      <w:r>
        <w:t>Where applicable Preference Premiums must be reported as a component in every</w:t>
      </w:r>
      <w:r w:rsidR="00BB5DA3">
        <w:t xml:space="preserve"> separate</w:t>
      </w:r>
      <w:r w:rsidR="006100EC">
        <w:t xml:space="preserve"> Vote to quantitatively show the way in which such expenditure complies with legislation that establishes Preference Premiums.</w:t>
      </w:r>
      <w:r w:rsidR="006100EC" w:rsidRPr="007D745B">
        <w:rPr>
          <w:b/>
          <w:bCs/>
        </w:rPr>
        <w:t xml:space="preserve"> </w:t>
      </w:r>
    </w:p>
    <w:p w14:paraId="1C97C66E" w14:textId="14A3D03B" w:rsidR="008011B1" w:rsidRPr="007D745B" w:rsidRDefault="008011B1" w:rsidP="008011B1">
      <w:pPr>
        <w:numPr>
          <w:ilvl w:val="0"/>
          <w:numId w:val="4"/>
        </w:numPr>
      </w:pPr>
      <w:r w:rsidRPr="007D745B">
        <w:rPr>
          <w:b/>
          <w:bCs/>
        </w:rPr>
        <w:t>(</w:t>
      </w:r>
      <w:r w:rsidR="00EA544C">
        <w:rPr>
          <w:b/>
          <w:bCs/>
        </w:rPr>
        <w:t>3</w:t>
      </w:r>
      <w:r w:rsidRPr="007D745B">
        <w:rPr>
          <w:b/>
          <w:bCs/>
        </w:rPr>
        <w:t>)</w:t>
      </w:r>
      <w:r w:rsidRPr="007D745B">
        <w:t xml:space="preserve"> Accounting officers must establish a dedicated sub-programme or line item designated as "Transfers and Subsidies: Preferential Procurement" within each applicable Vote.</w:t>
      </w:r>
    </w:p>
    <w:p w14:paraId="0150A5B1" w14:textId="7ADB00BC" w:rsidR="008011B1" w:rsidRPr="007D745B" w:rsidRDefault="008011B1" w:rsidP="008011B1">
      <w:pPr>
        <w:numPr>
          <w:ilvl w:val="0"/>
          <w:numId w:val="4"/>
        </w:numPr>
      </w:pPr>
      <w:r w:rsidRPr="007D745B">
        <w:rPr>
          <w:b/>
          <w:bCs/>
        </w:rPr>
        <w:t>(</w:t>
      </w:r>
      <w:r w:rsidR="00EA544C">
        <w:rPr>
          <w:b/>
          <w:bCs/>
        </w:rPr>
        <w:t>4</w:t>
      </w:r>
      <w:r w:rsidRPr="007D745B">
        <w:rPr>
          <w:b/>
          <w:bCs/>
        </w:rPr>
        <w:t>)</w:t>
      </w:r>
      <w:r w:rsidRPr="007D745B">
        <w:t xml:space="preserve"> The appropriated amount must be forecasted using historical procurement data, sector-specific transformation targets, and the authorized budget ceiling of the procuring entity.</w:t>
      </w:r>
    </w:p>
    <w:p w14:paraId="4A811720" w14:textId="77777777" w:rsidR="007D745B" w:rsidRPr="007D745B" w:rsidRDefault="007D745B" w:rsidP="007D745B">
      <w:r w:rsidRPr="007D745B">
        <w:rPr>
          <w:b/>
          <w:bCs/>
        </w:rPr>
        <w:t>6. Budget Depletion and Procurement Restrictions</w:t>
      </w:r>
    </w:p>
    <w:p w14:paraId="5560FAEB" w14:textId="2ACEF834" w:rsidR="007D745B" w:rsidRPr="007D745B" w:rsidRDefault="007D745B" w:rsidP="007D745B">
      <w:pPr>
        <w:numPr>
          <w:ilvl w:val="0"/>
          <w:numId w:val="5"/>
        </w:numPr>
      </w:pPr>
      <w:r w:rsidRPr="007D745B">
        <w:rPr>
          <w:b/>
          <w:bCs/>
        </w:rPr>
        <w:t>(1)</w:t>
      </w:r>
      <w:r w:rsidRPr="007D745B">
        <w:t xml:space="preserve"> The aggregate payment of Preference Premiums in any financial year may not exceed the quantum specifically appropriated for that purpose under Regulation </w:t>
      </w:r>
      <w:r w:rsidR="00D1737D">
        <w:t>5</w:t>
      </w:r>
      <w:r w:rsidRPr="007D745B">
        <w:t>.</w:t>
      </w:r>
    </w:p>
    <w:p w14:paraId="0486F07A" w14:textId="77777777" w:rsidR="007D745B" w:rsidRDefault="007D745B" w:rsidP="007D745B">
      <w:pPr>
        <w:numPr>
          <w:ilvl w:val="0"/>
          <w:numId w:val="5"/>
        </w:numPr>
      </w:pPr>
      <w:r w:rsidRPr="007D745B">
        <w:rPr>
          <w:b/>
          <w:bCs/>
        </w:rPr>
        <w:t>(2)</w:t>
      </w:r>
      <w:r w:rsidRPr="007D745B">
        <w:t xml:space="preserve"> When the expenditure against the "Transfers and Subsidies: Preferential Procurement" line item reaches 90% of the appropriated limit, the accounting officer must formally review all pending and upcoming procurements to prevent unauthorized expenditure.</w:t>
      </w:r>
    </w:p>
    <w:p w14:paraId="4F68DF15" w14:textId="5E8595AB" w:rsidR="006446B3" w:rsidRPr="007D745B" w:rsidRDefault="006446B3" w:rsidP="007D745B">
      <w:pPr>
        <w:numPr>
          <w:ilvl w:val="0"/>
          <w:numId w:val="5"/>
        </w:numPr>
      </w:pPr>
      <w:r>
        <w:rPr>
          <w:b/>
          <w:bCs/>
        </w:rPr>
        <w:t xml:space="preserve">(3) </w:t>
      </w:r>
      <w:r>
        <w:t xml:space="preserve">The accounting officer may formally review pending and upcoming procurements at an earlier stage </w:t>
      </w:r>
      <w:proofErr w:type="gramStart"/>
      <w:r>
        <w:t>in order to</w:t>
      </w:r>
      <w:proofErr w:type="gramEnd"/>
      <w:r>
        <w:t xml:space="preserve"> mitigate against the risk of exceeding the appropriated limit referred to in (2).</w:t>
      </w:r>
    </w:p>
    <w:p w14:paraId="47C42966" w14:textId="77777777" w:rsidR="007D745B" w:rsidRPr="007D745B" w:rsidRDefault="007D745B" w:rsidP="007D745B">
      <w:r w:rsidRPr="007D745B">
        <w:rPr>
          <w:b/>
          <w:bCs/>
        </w:rPr>
        <w:t>7. Mandatory Exemption Application</w:t>
      </w:r>
    </w:p>
    <w:p w14:paraId="4B7506EB" w14:textId="4A6752A4" w:rsidR="007D745B" w:rsidRPr="007D745B" w:rsidRDefault="007D745B" w:rsidP="007D745B">
      <w:pPr>
        <w:numPr>
          <w:ilvl w:val="0"/>
          <w:numId w:val="6"/>
        </w:numPr>
      </w:pPr>
      <w:r w:rsidRPr="007D745B">
        <w:rPr>
          <w:b/>
          <w:bCs/>
        </w:rPr>
        <w:t>(1)</w:t>
      </w:r>
      <w:r w:rsidRPr="007D745B">
        <w:t xml:space="preserve"> If the appropriated budget for Preference Premiums is definitively exhausted, the procuring institution is prohibited from incurring further unrequited expenditure for the remainder of the financial cycle.</w:t>
      </w:r>
    </w:p>
    <w:p w14:paraId="6B7B7B1D" w14:textId="733019ED" w:rsidR="00DB4C85" w:rsidRPr="00DB4C85" w:rsidRDefault="007D745B" w:rsidP="007D745B">
      <w:pPr>
        <w:numPr>
          <w:ilvl w:val="0"/>
          <w:numId w:val="6"/>
        </w:numPr>
      </w:pPr>
      <w:r w:rsidRPr="00DB4C85">
        <w:rPr>
          <w:b/>
          <w:bCs/>
        </w:rPr>
        <w:t>(2)</w:t>
      </w:r>
      <w:r w:rsidRPr="007D745B">
        <w:t xml:space="preserve"> </w:t>
      </w:r>
      <w:r w:rsidR="00DB4C85" w:rsidRPr="00DB4C85">
        <w:t>Upon expenditure against the "Transfers and Subsidies: Preferential Procurement" line item reaching 90% of the appropriated limit, the accounting officer must proactively apply to the Minister for exemption</w:t>
      </w:r>
      <w:r w:rsidR="00C4107B">
        <w:t>s</w:t>
      </w:r>
      <w:r w:rsidR="00DB4C85" w:rsidRPr="00DB4C85">
        <w:t xml:space="preserve"> in terms of section </w:t>
      </w:r>
      <w:r w:rsidR="00AF5660">
        <w:t>3 of the P</w:t>
      </w:r>
      <w:r w:rsidR="00C4107B">
        <w:t>referential</w:t>
      </w:r>
      <w:r w:rsidR="00AF5660">
        <w:t xml:space="preserve"> P</w:t>
      </w:r>
      <w:r w:rsidR="00C4107B">
        <w:t>rocurement Policy Framework Act</w:t>
      </w:r>
      <w:r w:rsidR="001A468E">
        <w:t xml:space="preserve">, 2000 (No. 4 of 2000) </w:t>
      </w:r>
      <w:r w:rsidR="00384F81">
        <w:t>to</w:t>
      </w:r>
      <w:r w:rsidR="001A468E">
        <w:t xml:space="preserve"> avoid exceeding the </w:t>
      </w:r>
      <w:r w:rsidR="00BC1CED">
        <w:t>budget for Preference Premiums</w:t>
      </w:r>
      <w:r w:rsidR="00DB4C85" w:rsidRPr="00DB4C85">
        <w:t>.</w:t>
      </w:r>
      <w:r w:rsidR="00DB4C85" w:rsidRPr="00DB4C85">
        <w:rPr>
          <w:b/>
          <w:bCs/>
        </w:rPr>
        <w:t xml:space="preserve"> </w:t>
      </w:r>
    </w:p>
    <w:p w14:paraId="3ED37019" w14:textId="5CF9854B" w:rsidR="007D745B" w:rsidRPr="007D745B" w:rsidRDefault="007D745B" w:rsidP="007D745B">
      <w:pPr>
        <w:numPr>
          <w:ilvl w:val="0"/>
          <w:numId w:val="6"/>
        </w:numPr>
      </w:pPr>
      <w:r w:rsidRPr="00DB4C85">
        <w:rPr>
          <w:b/>
          <w:bCs/>
        </w:rPr>
        <w:t>(3)</w:t>
      </w:r>
      <w:r w:rsidRPr="007D745B">
        <w:t xml:space="preserve"> The exhaustion of democratically appropriated transformative funds shall serve as the mandatory "public interest" justification for granting said exemption.</w:t>
      </w:r>
    </w:p>
    <w:p w14:paraId="3518E115" w14:textId="77777777" w:rsidR="002E30C9" w:rsidRPr="007D745B" w:rsidRDefault="002E30C9" w:rsidP="002E30C9">
      <w:r>
        <w:rPr>
          <w:b/>
          <w:bCs/>
        </w:rPr>
        <w:t>8</w:t>
      </w:r>
      <w:r w:rsidRPr="000B5291">
        <w:rPr>
          <w:b/>
          <w:bCs/>
        </w:rPr>
        <w:t xml:space="preserve">. </w:t>
      </w:r>
      <w:r>
        <w:rPr>
          <w:b/>
          <w:bCs/>
        </w:rPr>
        <w:t>Withholding Funds to Enforce Compliance</w:t>
      </w:r>
    </w:p>
    <w:p w14:paraId="167FBFFE" w14:textId="77777777" w:rsidR="002E30C9" w:rsidRDefault="002E30C9" w:rsidP="002E30C9">
      <w:pPr>
        <w:numPr>
          <w:ilvl w:val="0"/>
          <w:numId w:val="6"/>
        </w:numPr>
      </w:pPr>
      <w:r w:rsidRPr="007D745B">
        <w:rPr>
          <w:b/>
          <w:bCs/>
        </w:rPr>
        <w:t>(1)</w:t>
      </w:r>
      <w:r w:rsidRPr="007D745B">
        <w:t xml:space="preserve"> </w:t>
      </w:r>
      <w:r>
        <w:t>If an organ of state fails to comply with section 3 for more than 4% of its annual expenditure amount, then the Minister of Finance shall initiate a review to determine the cause of failure</w:t>
      </w:r>
      <w:r w:rsidRPr="007D745B">
        <w:t>.</w:t>
      </w:r>
    </w:p>
    <w:p w14:paraId="3DF53330" w14:textId="77777777" w:rsidR="002E30C9" w:rsidRDefault="002E30C9" w:rsidP="002E30C9">
      <w:pPr>
        <w:numPr>
          <w:ilvl w:val="0"/>
          <w:numId w:val="6"/>
        </w:numPr>
      </w:pPr>
      <w:r>
        <w:rPr>
          <w:b/>
          <w:bCs/>
        </w:rPr>
        <w:lastRenderedPageBreak/>
        <w:t xml:space="preserve">(2) </w:t>
      </w:r>
      <w:r>
        <w:t xml:space="preserve">If an organ of state fails to </w:t>
      </w:r>
      <w:proofErr w:type="gramStart"/>
      <w:r>
        <w:t>comply  with</w:t>
      </w:r>
      <w:proofErr w:type="gramEnd"/>
      <w:r>
        <w:t xml:space="preserve"> section 3 in terms of the 4% threshold for two financial years in a row, then the Minister of Finance may withhold funds from that organ of state in terms of section 216(2) of the Constitution. </w:t>
      </w:r>
    </w:p>
    <w:p w14:paraId="02B98FF5" w14:textId="77777777" w:rsidR="002E30C9" w:rsidRDefault="002E30C9" w:rsidP="002E30C9"/>
    <w:p w14:paraId="29E3B82A" w14:textId="77777777" w:rsidR="007D745B" w:rsidRDefault="007D745B"/>
    <w:sectPr w:rsidR="007D74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613B7"/>
    <w:multiLevelType w:val="multilevel"/>
    <w:tmpl w:val="1E1A1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F615C7"/>
    <w:multiLevelType w:val="multilevel"/>
    <w:tmpl w:val="68C4B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112CA7"/>
    <w:multiLevelType w:val="multilevel"/>
    <w:tmpl w:val="9648C0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707A7F"/>
    <w:multiLevelType w:val="multilevel"/>
    <w:tmpl w:val="07800564"/>
    <w:lvl w:ilvl="0">
      <w:start w:val="1"/>
      <w:numFmt w:val="bullet"/>
      <w:lvlText w:val=""/>
      <w:lvlJc w:val="left"/>
      <w:pPr>
        <w:tabs>
          <w:tab w:val="num" w:pos="720"/>
        </w:tabs>
        <w:ind w:left="720" w:hanging="360"/>
      </w:pPr>
      <w:rPr>
        <w:rFonts w:ascii="Symbol" w:hAnsi="Symbol" w:hint="default"/>
        <w:sz w:val="20"/>
      </w:rPr>
    </w:lvl>
    <w:lvl w:ilvl="1">
      <w:start w:val="1"/>
      <w:numFmt w:val="decimal"/>
      <w:lvlText w:val="%2.1."/>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684DD4"/>
    <w:multiLevelType w:val="multilevel"/>
    <w:tmpl w:val="F4A2A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A46AA2"/>
    <w:multiLevelType w:val="multilevel"/>
    <w:tmpl w:val="1224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9E7B1E"/>
    <w:multiLevelType w:val="multilevel"/>
    <w:tmpl w:val="1F3CC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4508363">
    <w:abstractNumId w:val="3"/>
  </w:num>
  <w:num w:numId="2" w16cid:durableId="1174304493">
    <w:abstractNumId w:val="4"/>
  </w:num>
  <w:num w:numId="3" w16cid:durableId="1127970316">
    <w:abstractNumId w:val="2"/>
  </w:num>
  <w:num w:numId="4" w16cid:durableId="257098629">
    <w:abstractNumId w:val="5"/>
  </w:num>
  <w:num w:numId="5" w16cid:durableId="1341155321">
    <w:abstractNumId w:val="1"/>
  </w:num>
  <w:num w:numId="6" w16cid:durableId="1358191815">
    <w:abstractNumId w:val="6"/>
  </w:num>
  <w:num w:numId="7" w16cid:durableId="1491556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45B"/>
    <w:rsid w:val="000448E5"/>
    <w:rsid w:val="000F53AF"/>
    <w:rsid w:val="00136FD8"/>
    <w:rsid w:val="001A468E"/>
    <w:rsid w:val="001F63A9"/>
    <w:rsid w:val="00221EDC"/>
    <w:rsid w:val="00225FD8"/>
    <w:rsid w:val="0025212C"/>
    <w:rsid w:val="0028214B"/>
    <w:rsid w:val="002E30C9"/>
    <w:rsid w:val="00384F81"/>
    <w:rsid w:val="00415C4D"/>
    <w:rsid w:val="00424E51"/>
    <w:rsid w:val="00447E2D"/>
    <w:rsid w:val="005263AC"/>
    <w:rsid w:val="00537ACC"/>
    <w:rsid w:val="00596A9A"/>
    <w:rsid w:val="006100EC"/>
    <w:rsid w:val="006170BF"/>
    <w:rsid w:val="006446B3"/>
    <w:rsid w:val="0070455D"/>
    <w:rsid w:val="00736F15"/>
    <w:rsid w:val="007A38B3"/>
    <w:rsid w:val="007D745B"/>
    <w:rsid w:val="008011B1"/>
    <w:rsid w:val="00811F1A"/>
    <w:rsid w:val="009113C8"/>
    <w:rsid w:val="00945834"/>
    <w:rsid w:val="009603BF"/>
    <w:rsid w:val="009A75C1"/>
    <w:rsid w:val="009D615F"/>
    <w:rsid w:val="00A2186C"/>
    <w:rsid w:val="00A36A4E"/>
    <w:rsid w:val="00AD23BC"/>
    <w:rsid w:val="00AF5660"/>
    <w:rsid w:val="00B93CA2"/>
    <w:rsid w:val="00BB5DA3"/>
    <w:rsid w:val="00BB7493"/>
    <w:rsid w:val="00BB7BC0"/>
    <w:rsid w:val="00BC1CED"/>
    <w:rsid w:val="00BD7757"/>
    <w:rsid w:val="00C4107B"/>
    <w:rsid w:val="00C64127"/>
    <w:rsid w:val="00C73373"/>
    <w:rsid w:val="00C945E4"/>
    <w:rsid w:val="00D1737D"/>
    <w:rsid w:val="00D34916"/>
    <w:rsid w:val="00D94ACC"/>
    <w:rsid w:val="00DA3ADE"/>
    <w:rsid w:val="00DB4C85"/>
    <w:rsid w:val="00DF610C"/>
    <w:rsid w:val="00E349BF"/>
    <w:rsid w:val="00E9132E"/>
    <w:rsid w:val="00EA544C"/>
    <w:rsid w:val="00F61A16"/>
    <w:rsid w:val="00F660A5"/>
    <w:rsid w:val="00FF1E3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37C47"/>
  <w15:chartTrackingRefBased/>
  <w15:docId w15:val="{C0B813EB-4187-4E53-9D62-CC17ECF5E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74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74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74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74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74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74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74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74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74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4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74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74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74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74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74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74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74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745B"/>
    <w:rPr>
      <w:rFonts w:eastAsiaTheme="majorEastAsia" w:cstheme="majorBidi"/>
      <w:color w:val="272727" w:themeColor="text1" w:themeTint="D8"/>
    </w:rPr>
  </w:style>
  <w:style w:type="paragraph" w:styleId="Title">
    <w:name w:val="Title"/>
    <w:basedOn w:val="Normal"/>
    <w:next w:val="Normal"/>
    <w:link w:val="TitleChar"/>
    <w:uiPriority w:val="10"/>
    <w:qFormat/>
    <w:rsid w:val="007D74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74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74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74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745B"/>
    <w:pPr>
      <w:spacing w:before="160"/>
      <w:jc w:val="center"/>
    </w:pPr>
    <w:rPr>
      <w:i/>
      <w:iCs/>
      <w:color w:val="404040" w:themeColor="text1" w:themeTint="BF"/>
    </w:rPr>
  </w:style>
  <w:style w:type="character" w:customStyle="1" w:styleId="QuoteChar">
    <w:name w:val="Quote Char"/>
    <w:basedOn w:val="DefaultParagraphFont"/>
    <w:link w:val="Quote"/>
    <w:uiPriority w:val="29"/>
    <w:rsid w:val="007D745B"/>
    <w:rPr>
      <w:i/>
      <w:iCs/>
      <w:color w:val="404040" w:themeColor="text1" w:themeTint="BF"/>
    </w:rPr>
  </w:style>
  <w:style w:type="paragraph" w:styleId="ListParagraph">
    <w:name w:val="List Paragraph"/>
    <w:basedOn w:val="Normal"/>
    <w:uiPriority w:val="34"/>
    <w:qFormat/>
    <w:rsid w:val="007D745B"/>
    <w:pPr>
      <w:ind w:left="720"/>
      <w:contextualSpacing/>
    </w:pPr>
  </w:style>
  <w:style w:type="character" w:styleId="IntenseEmphasis">
    <w:name w:val="Intense Emphasis"/>
    <w:basedOn w:val="DefaultParagraphFont"/>
    <w:uiPriority w:val="21"/>
    <w:qFormat/>
    <w:rsid w:val="007D745B"/>
    <w:rPr>
      <w:i/>
      <w:iCs/>
      <w:color w:val="0F4761" w:themeColor="accent1" w:themeShade="BF"/>
    </w:rPr>
  </w:style>
  <w:style w:type="paragraph" w:styleId="IntenseQuote">
    <w:name w:val="Intense Quote"/>
    <w:basedOn w:val="Normal"/>
    <w:next w:val="Normal"/>
    <w:link w:val="IntenseQuoteChar"/>
    <w:uiPriority w:val="30"/>
    <w:qFormat/>
    <w:rsid w:val="007D74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745B"/>
    <w:rPr>
      <w:i/>
      <w:iCs/>
      <w:color w:val="0F4761" w:themeColor="accent1" w:themeShade="BF"/>
    </w:rPr>
  </w:style>
  <w:style w:type="character" w:styleId="IntenseReference">
    <w:name w:val="Intense Reference"/>
    <w:basedOn w:val="DefaultParagraphFont"/>
    <w:uiPriority w:val="32"/>
    <w:qFormat/>
    <w:rsid w:val="007D74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1004</TotalTime>
  <Pages>4</Pages>
  <Words>1031</Words>
  <Characters>5880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Crouse</dc:creator>
  <cp:keywords/>
  <dc:description/>
  <cp:lastModifiedBy>Gabriel Crouse</cp:lastModifiedBy>
  <cp:revision>49</cp:revision>
  <dcterms:created xsi:type="dcterms:W3CDTF">2026-03-05T17:19:00Z</dcterms:created>
  <dcterms:modified xsi:type="dcterms:W3CDTF">2026-03-09T10:19:00Z</dcterms:modified>
</cp:coreProperties>
</file>